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874a8e96d07a4274"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140</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CODRI BUCOVINEI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M3- Dezvoltarea activitatilor non agricole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 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se încadrează în catergoria de beneficiari aligibili menționate mai sus.Se va verifica:- Cererea de finanțare/Studiul de fezabilitate/DALI/Memoriu justificativ;- Certificat de înregistrare ONRC / fiscală;- Certificat constatator emis de Oficiul Registrului ComerțuluiMetodologie: Dacă în urma verificării documentelor se constatărespectarea condițiilor impuse, expertul bifeaza DA. În caz contrarexpertul bifează NU, motivează poziția lui la rubrica Observații, iarcererea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 Solicitantul trebuie să demonstreze capacitatea de a asigura co-finanțarea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Criteriul se consideră îndeplinit prin verificarea însuşirii Declaraţiei F şi în baza corelării informaţiilor din Cererea de Finanțare, a Bugetului Indicativ propus și rezultat în urma evaluării.</w:t>
            </w:r>
          </w:p>
          <w:p>
            <w:pPr>
              <w:spacing w:line="360" w:lineRule="auto"/>
              <w:ind w:left="0" w:right="0" w:firstLine="493"/>
            </w:pPr>
            <w:r>
              <w:rPr>
                <w:rFonts w:ascii="Cambria" w:hAnsi="Cambria"/>
                <w:b w:val="false"/>
                <w:sz w:val="24"/>
                <w:shd w:val="clear" w:fill="FFFFFF"/>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pPr>
              <w:spacing w:line="360" w:lineRule="auto"/>
              <w:ind w:left="0" w:right="0" w:firstLine="493"/>
            </w:pPr>
            <w:r>
              <w:rPr>
                <w:rFonts w:ascii="Cambria" w:hAnsi="Cambria"/>
                <w:b w:val="false"/>
                <w:sz w:val="24"/>
              </w:rPr>
              <w:t>În cazul depunerii unor solicitări pentru mai multe proiecte, solicitantul/ beneficiarul, după caz, trebuie să dovedească existența co-finanțării private pentru proiect, sau, după caz, cumulat pentru toate proiectele.</w:t>
            </w:r>
          </w:p>
          <w:p>
            <w:pPr>
              <w:spacing w:line="360" w:lineRule="auto"/>
              <w:ind w:left="0" w:right="0" w:firstLine="493"/>
            </w:pPr>
            <w:r>
              <w:rPr>
                <w:rFonts w:ascii="Cambria" w:hAnsi="Cambria"/>
                <w:b w:val="false"/>
                <w:sz w:val="24"/>
                <w:shd w:val="clear" w:fill="FFFFFF"/>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p>
            <w:pPr>
              <w:spacing w:line="360" w:lineRule="auto"/>
              <w:ind w:left="0" w:right="0" w:firstLine="493"/>
            </w:pPr>
            <w:r>
              <w:rPr>
                <w:rFonts w:ascii="Cambria" w:hAnsi="Cambria"/>
                <w:b w:val="false"/>
                <w:sz w:val="24"/>
                <w:shd w:val="clear" w:fill="FFFFFF"/>
                <w:lang w:val="ro"/>
              </w:rPr>
              <w:t>Documente:</w:t>
            </w:r>
          </w:p>
          <w:p>
            <w:pPr>
              <w:spacing w:line="360" w:lineRule="auto"/>
              <w:ind w:left="0" w:right="0" w:firstLine="493"/>
            </w:pPr>
            <w:r>
              <w:rPr>
                <w:rFonts w:ascii="Cambria" w:hAnsi="Cambria"/>
                <w:b w:val="false"/>
                <w:sz w:val="24"/>
                <w:shd w:val="clear" w:fill="FFFFFF"/>
                <w:lang w:val="pt"/>
              </w:rPr>
              <w:t>Declaratia F</w:t>
            </w:r>
          </w:p>
          <w:p>
            <w:pPr>
              <w:spacing w:line="360" w:lineRule="auto"/>
              <w:ind w:left="0" w:right="0" w:firstLine="493"/>
            </w:pPr>
            <w:r>
              <w:rPr>
                <w:rFonts w:ascii="Cambria" w:hAnsi="Cambria"/>
                <w:b w:val="false"/>
                <w:sz w:val="24"/>
                <w:shd w:val="clear" w:fill="FFFFFF"/>
                <w:lang w:val="pt"/>
              </w:rPr>
              <w:t>Buget indicativ</w:t>
            </w:r>
          </w:p>
          <w:p>
            <w:pPr>
              <w:spacing w:line="360" w:lineRule="auto"/>
              <w:ind w:left="0" w:right="0" w:firstLine="493"/>
            </w:pPr>
            <w:r>
              <w:rPr>
                <w:rFonts w:ascii="Cambria" w:hAnsi="Cambria"/>
                <w:b w:val="false"/>
                <w:sz w:val="24"/>
                <w:shd w:val="clear" w:fill="FFFFFF"/>
                <w:lang w:val="pt"/>
              </w:rPr>
              <w:t>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 Viabilitatea economică a investiției trebuie să fie demonstrată pe baza prezentării unei documentații tehnico-economice;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 DE PREZENTAT</w:t>
            </w:r>
          </w:p>
          <w:p>
            <w:pPr>
              <w:spacing w:line="360" w:lineRule="auto"/>
              <w:ind w:left="0" w:right="0" w:firstLine="493"/>
            </w:pPr>
            <w:r>
              <w:rPr>
                <w:rFonts w:ascii="Cambria" w:hAnsi="Cambria"/>
                <w:b w:val="false"/>
                <w:sz w:val="24"/>
              </w:rPr>
              <w:t>-  Studiul de fezabilitate/ Memoriu justificativ/ DALI</w:t>
            </w:r>
          </w:p>
          <w:p>
            <w:pPr>
              <w:spacing w:line="360" w:lineRule="auto"/>
              <w:ind w:left="0" w:right="0" w:firstLine="493"/>
            </w:pPr>
            <w:r>
              <w:rPr>
                <w:rFonts w:ascii="Cambria" w:hAnsi="Cambria"/>
                <w:b w:val="false"/>
                <w:sz w:val="24"/>
              </w:rPr>
              <w:t> –situatii financiare (bilanţul  - formularul 10, contul de profit și pierdere - formularul 20)</w:t>
            </w:r>
          </w:p>
          <w:p>
            <w:pPr>
              <w:spacing w:line="360" w:lineRule="auto"/>
              <w:ind w:left="0" w:right="0" w:firstLine="493"/>
            </w:pPr>
            <w:r>
              <w:rPr>
                <w:rFonts w:ascii="Cambria" w:hAnsi="Cambria"/>
                <w:b w:val="false"/>
                <w:sz w:val="24"/>
              </w:rPr>
              <w:t>Cererea de finantare</w:t>
            </w:r>
          </w:p>
          <w:p>
            <w:pPr>
              <w:spacing w:line="360" w:lineRule="auto"/>
              <w:ind w:left="0" w:right="0" w:firstLine="493"/>
            </w:pPr>
            <w:r>
              <w:rPr>
                <w:rFonts w:ascii="Cambria" w:hAnsi="Cambria"/>
                <w:b w:val="false"/>
                <w:sz w:val="24"/>
              </w:rPr>
              <w:t>Buget indicativ</w:t>
            </w:r>
          </w:p>
          <w:p>
            <w:pPr>
              <w:spacing w:line="360" w:lineRule="auto"/>
              <w:ind w:left="0" w:right="0" w:firstLine="493"/>
            </w:pPr>
            <w:r>
              <w:rPr>
                <w:rFonts w:ascii="Cambria" w:hAnsi="Cambria"/>
                <w:b w:val="false"/>
                <w:sz w:val="24"/>
              </w:rPr>
              <w:t>Anexele B sau C aferente Studiului de fezabilitate in vederea completării Matricei de verificare a viabilităţii economico-financiare a proiectului.</w:t>
            </w:r>
          </w:p>
          <w:p>
            <w:pPr>
              <w:spacing w:line="360" w:lineRule="auto"/>
              <w:ind w:left="0" w:right="0" w:firstLine="493"/>
            </w:pPr>
            <w:r>
              <w:rPr>
                <w:rFonts w:ascii="Cambria" w:hAnsi="Cambria"/>
                <w:b w:val="false"/>
                <w:sz w:val="24"/>
              </w:rPr>
              <w:t>Declarația de inactivitate înregistrată la Administrația Financiară, în cazul solicitanților care nu au desfășurat activitate anterior depunerii proiectului</w:t>
            </w:r>
          </w:p>
          <w:p>
            <w:pPr>
              <w:spacing w:line="360" w:lineRule="auto"/>
              <w:ind w:left="0" w:right="0" w:firstLine="493"/>
            </w:pPr>
            <w:r>
              <w:rPr>
                <w:rFonts w:ascii="Cambria" w:hAnsi="Cambria"/>
                <w:b w:val="false"/>
                <w:sz w:val="24"/>
              </w:rPr>
              <w:t>Pentru persoane fizice autorizate, intreprinderi familiale și intreprinderi individuale: Declarație privind veniturile realizate în anul precedent depunerii proiectului înregistrată la Administraţia Financiară;</w:t>
            </w:r>
          </w:p>
          <w:p>
            <w:pPr>
              <w:spacing w:line="360" w:lineRule="auto"/>
              <w:ind w:left="0" w:right="0" w:firstLine="493"/>
            </w:pPr>
            <w:r>
              <w:rPr>
                <w:rFonts w:ascii="Cambria" w:hAnsi="Cambria"/>
                <w:b w:val="false"/>
                <w:sz w:val="24"/>
              </w:rPr>
              <w:t>În cazul persoanelor fizice autorizate, întreprinderilor individuale și întreprinderilor familiale se va prezenta:</w:t>
            </w:r>
          </w:p>
          <w:p>
            <w:pPr>
              <w:spacing w:line="360" w:lineRule="auto"/>
              <w:ind w:left="0" w:right="0" w:firstLine="493"/>
            </w:pPr>
            <w:r>
              <w:rPr>
                <w:rFonts w:ascii="Cambria" w:hAnsi="Cambria"/>
                <w:b w:val="false"/>
                <w:sz w:val="24"/>
              </w:rPr>
              <w:t>Declarație privind veniturile realizate în anul precedent depunerii proiectului  în care rezultatul brut obţinut anual să nu fie negativ.</w:t>
            </w:r>
          </w:p>
          <w:p>
            <w:pPr>
              <w:spacing w:line="360" w:lineRule="auto"/>
              <w:ind w:left="0" w:right="0" w:firstLine="493"/>
            </w:pPr>
            <w:r>
              <w:rPr>
                <w:rFonts w:ascii="Cambria" w:hAnsi="Cambria"/>
                <w:b w:val="false"/>
                <w:sz w:val="24"/>
              </w:rPr>
              <w:t>PUNCTE DE VERIFICAT IN DOCUMENTE</w:t>
            </w:r>
          </w:p>
          <w:p>
            <w:pPr>
              <w:spacing w:line="360" w:lineRule="auto"/>
              <w:ind w:left="0" w:right="0" w:firstLine="493"/>
            </w:pPr>
            <w:r>
              <w:rPr>
                <w:rFonts w:ascii="Cambria" w:hAnsi="Cambria"/>
                <w:b w:val="false"/>
                <w:sz w:val="24"/>
              </w:rPr>
              <w:t>Se verifică doar în cazul proiectelor care urmăresc un rezultat economic depuse de beneficiari privati cu exceptia solicitantilor care depun urmatoarele tipuri de proiecte:</w:t>
            </w:r>
          </w:p>
          <w:p>
            <w:pPr>
              <w:spacing w:line="360" w:lineRule="auto"/>
              <w:ind w:left="0" w:right="0" w:firstLine="493"/>
            </w:pPr>
            <w:r>
              <w:rPr>
                <w:rFonts w:ascii="Cambria" w:hAnsi="Cambria"/>
                <w:b w:val="false"/>
                <w:sz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pPr>
              <w:spacing w:line="360" w:lineRule="auto"/>
              <w:ind w:left="0" w:right="0" w:firstLine="493"/>
            </w:pPr>
            <w:r>
              <w:rPr>
                <w:rFonts w:ascii="Cambria" w:hAnsi="Cambria"/>
                <w:b w:val="false"/>
                <w:sz w:val="24"/>
              </w:rPr>
              <w:t> -solicitantul desfăşoară o activitate comercială (producţie/ servicii);</w:t>
            </w:r>
          </w:p>
          <w:p>
            <w:pPr>
              <w:spacing w:line="360" w:lineRule="auto"/>
              <w:ind w:left="0" w:right="0" w:firstLine="493"/>
            </w:pPr>
            <w:r>
              <w:rPr>
                <w:rFonts w:ascii="Cambria" w:hAnsi="Cambria"/>
                <w:b w:val="false"/>
                <w:sz w:val="24"/>
              </w:rPr>
              <w:t> - capacitatea lunară de producţie energie regenerabilă propusa nu depăşeşte consumul lunar maxim al solicitantului din ultimele 12 luni;</w:t>
            </w:r>
          </w:p>
          <w:p>
            <w:pPr>
              <w:spacing w:line="360" w:lineRule="auto"/>
              <w:ind w:left="0" w:right="0" w:firstLine="493"/>
            </w:pPr>
            <w:r>
              <w:rPr>
                <w:rFonts w:ascii="Cambria" w:hAnsi="Cambria"/>
                <w:b w:val="false"/>
                <w:sz w:val="24"/>
              </w:rPr>
              <w:t> -toate investiţiile propuse prin proiect sunt legate numai  de producerea de energie regenerabilă;</w:t>
            </w:r>
          </w:p>
          <w:p>
            <w:pPr>
              <w:spacing w:line="360" w:lineRule="auto"/>
              <w:ind w:left="0" w:right="0" w:firstLine="493"/>
            </w:pPr>
            <w:r>
              <w:rPr>
                <w:rFonts w:ascii="Cambria" w:hAnsi="Cambria"/>
                <w:b w:val="false"/>
                <w:sz w:val="24"/>
              </w:rPr>
              <w:t> - soluţia propusă este de tip off-grid/hibrid</w:t>
            </w:r>
          </w:p>
          <w:p>
            <w:pPr>
              <w:spacing w:line="360" w:lineRule="auto"/>
              <w:ind w:left="0" w:right="0" w:firstLine="493"/>
            </w:pPr>
            <w:r>
              <w:rPr>
                <w:rFonts w:ascii="Cambria" w:hAnsi="Cambria"/>
                <w:b w:val="false"/>
                <w:sz w:val="24"/>
              </w:rPr>
              <w:t>Atenţie!  Solicitantul nu poate deveni prosumator</w:t>
            </w:r>
          </w:p>
          <w:p>
            <w:pPr>
              <w:spacing w:line="360" w:lineRule="auto"/>
              <w:ind w:left="0" w:right="0" w:firstLine="493"/>
            </w:pPr>
            <w:r>
              <w:rPr>
                <w:rFonts w:ascii="Cambria" w:hAnsi="Cambria"/>
                <w:b w:val="false"/>
                <w:sz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pPr>
              <w:spacing w:line="360" w:lineRule="auto"/>
              <w:ind w:left="0" w:right="0" w:firstLine="493"/>
            </w:pPr>
            <w:r>
              <w:rPr>
                <w:rFonts w:ascii="Cambria" w:hAnsi="Cambria"/>
                <w:b w:val="false"/>
                <w:sz w:val="24"/>
              </w:rPr>
              <w:t>solicitantul desfăşoară o activitate comercială (producţie/ servicii);</w:t>
            </w:r>
          </w:p>
          <w:p>
            <w:pPr>
              <w:spacing w:line="360" w:lineRule="auto"/>
              <w:ind w:left="0" w:right="0" w:firstLine="493"/>
            </w:pPr>
            <w:r>
              <w:rPr>
                <w:rFonts w:ascii="Cambria" w:hAnsi="Cambria"/>
                <w:b w:val="false"/>
                <w:sz w:val="24"/>
              </w:rPr>
              <w:t>toate investiţiile propuse prin proiect sunt legate de colectarea selectivă a deşeurilor rezultate din procesele de lucru;</w:t>
            </w:r>
          </w:p>
          <w:p>
            <w:pPr>
              <w:spacing w:line="360" w:lineRule="auto"/>
              <w:ind w:left="0" w:right="0" w:firstLine="493"/>
            </w:pPr>
            <w:r>
              <w:rPr>
                <w:rFonts w:ascii="Cambria" w:hAnsi="Cambria"/>
                <w:b w:val="false"/>
                <w:sz w:val="24"/>
              </w:rPr>
              <w:t>deşeurile colectate selectiv sunt predate unor centre de colectare/ unor operatori care le valorifică.</w:t>
            </w:r>
          </w:p>
          <w:p>
            <w:pPr>
              <w:spacing w:line="360" w:lineRule="auto"/>
              <w:ind w:left="0" w:right="0" w:firstLine="493"/>
            </w:pPr>
            <w:r>
              <w:rPr>
                <w:rFonts w:ascii="Cambria" w:hAnsi="Cambria"/>
                <w:b w:val="false"/>
                <w:sz w:val="24"/>
              </w:rPr>
              <w:t>Nu se verifica in cazul in care solicitantul este Parteneriat.</w:t>
            </w:r>
          </w:p>
          <w:p>
            <w:pPr>
              <w:spacing w:line="360" w:lineRule="auto"/>
              <w:ind w:left="0" w:right="0" w:firstLine="493"/>
            </w:pPr>
            <w:r>
              <w:rPr>
                <w:rFonts w:ascii="Cambria" w:hAnsi="Cambria"/>
                <w:b w:val="false"/>
                <w:sz w:val="24"/>
              </w:rPr>
              <w:t>Verificarea îndeplinirii criteriului se va face conform punctelor I și II.</w:t>
            </w:r>
          </w:p>
          <w:p>
            <w:pPr>
              <w:spacing w:line="360" w:lineRule="auto"/>
              <w:ind w:left="0" w:right="0" w:firstLine="493"/>
            </w:pPr>
            <w:r>
              <w:rPr>
                <w:rFonts w:ascii="Cambria" w:hAnsi="Cambria"/>
                <w:b w:val="false"/>
                <w:sz w:val="24"/>
              </w:rPr>
              <w:t>                I.a) În cazul tuturor solicitanților, cu excepția PFA, II și IF, expertul verifică, situațiile financiare ale acestora, după cum urmează:</w:t>
            </w:r>
          </w:p>
          <w:p>
            <w:pPr>
              <w:spacing w:line="360" w:lineRule="auto"/>
              <w:ind w:left="0" w:right="0" w:firstLine="493"/>
            </w:pPr>
            <w:r>
              <w:rPr>
                <w:rFonts w:ascii="Cambria" w:hAnsi="Cambria"/>
                <w:b w:val="false"/>
                <w:sz w:val="24"/>
              </w:rPr>
              <w:t>-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w:t>
            </w:r>
          </w:p>
          <w:p>
            <w:pPr>
              <w:spacing w:line="360" w:lineRule="auto"/>
              <w:ind w:left="0" w:right="0" w:firstLine="493"/>
            </w:pPr>
            <w:r>
              <w:rPr>
                <w:rFonts w:ascii="Cambria" w:hAnsi="Cambria"/>
                <w:b w:val="false"/>
                <w:sz w:val="24"/>
              </w:rPr>
              <w:t>În cazul în care anul precedent depunerii Cererii de Finanţare este anul înfiinţării, nu se analizează rezultatul operaţional care poate fi negativ.</w:t>
            </w:r>
          </w:p>
          <w:p>
            <w:pPr>
              <w:spacing w:line="360" w:lineRule="auto"/>
              <w:ind w:left="0" w:right="0" w:firstLine="493"/>
            </w:pPr>
            <w:r>
              <w:rPr>
                <w:rFonts w:ascii="Cambria" w:hAnsi="Cambria"/>
                <w:b w:val="false"/>
                <w:sz w:val="24"/>
              </w:rPr>
              <w:t>Este acceptată pierderea din exploatare pe anul anterior depunerii cererii de finanțare. </w:t>
            </w:r>
          </w:p>
          <w:p>
            <w:pPr>
              <w:spacing w:line="360" w:lineRule="auto"/>
              <w:ind w:left="0" w:right="0" w:firstLine="493"/>
            </w:pPr>
            <w:r>
              <w:rPr>
                <w:rFonts w:ascii="Cambria" w:hAnsi="Cambria"/>
                <w:b w:val="false"/>
                <w:sz w:val="24"/>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pPr>
              <w:spacing w:line="360" w:lineRule="auto"/>
              <w:ind w:left="0" w:right="0" w:firstLine="493"/>
            </w:pPr>
            <w:r>
              <w:rPr>
                <w:rFonts w:ascii="Cambria" w:hAnsi="Cambria"/>
                <w:b w:val="false"/>
                <w:sz w:val="24"/>
              </w:rPr>
              <w:t>                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pPr>
              <w:spacing w:line="360" w:lineRule="auto"/>
              <w:ind w:left="0" w:right="0" w:firstLine="493"/>
            </w:pPr>
            <w:r>
              <w:rPr>
                <w:rFonts w:ascii="Cambria" w:hAnsi="Cambria"/>
                <w:b w:val="false"/>
                <w:sz w:val="24"/>
              </w:rPr>
              <w:t>Nu se va lua in calcul anul infiinţării in care rezultatul poate fi negativ, situaţie în care condiţia pentru verificarea rezultatului financiar se va considera indeplinită.</w:t>
            </w:r>
          </w:p>
          <w:p>
            <w:pPr>
              <w:spacing w:line="360" w:lineRule="auto"/>
              <w:ind w:left="0" w:right="0" w:firstLine="493"/>
            </w:pPr>
            <w:r>
              <w:rPr>
                <w:rFonts w:ascii="Cambria" w:hAnsi="Cambria"/>
                <w:b w:val="false"/>
                <w:sz w:val="24"/>
              </w:rPr>
              <w:t>Declaraţia de inactivitate înregistrată la Administraţia Financiară, în cazul solicitanţilor care nu au desfăşurat activitate anterior depunerii proiectului.</w:t>
            </w:r>
          </w:p>
          <w:p>
            <w:pPr>
              <w:spacing w:line="360" w:lineRule="auto"/>
              <w:ind w:left="0" w:right="0" w:firstLine="493"/>
            </w:pPr>
            <w:r>
              <w:rPr>
                <w:rFonts w:ascii="Cambria" w:hAnsi="Cambria"/>
                <w:b w:val="false"/>
                <w:sz w:val="24"/>
              </w:rPr>
              <w:t>Studiul de fezabilitate - privind viabilitatea economico-financiare a proiectului.</w:t>
            </w:r>
          </w:p>
          <w:p>
            <w:pPr>
              <w:spacing w:line="360" w:lineRule="auto"/>
              <w:ind w:left="0" w:right="0" w:firstLine="493"/>
            </w:pPr>
            <w:r>
              <w:rPr>
                <w:rFonts w:ascii="Cambria" w:hAnsi="Cambria"/>
                <w:b w:val="false"/>
                <w:sz w:val="24"/>
              </w:rPr>
              <w:t>Se verifică indicatorii economico-financiari din cadrul secţiunii economice să se încadreze în limitele menţionate, începand cu anul in care se finalizează investiţia şi se obţine/ obţin producţie/ venituri conform tehnologiilor de producţie .</w:t>
            </w:r>
          </w:p>
          <w:p>
            <w:pPr>
              <w:spacing w:line="360" w:lineRule="auto"/>
              <w:ind w:left="0" w:right="0" w:firstLine="493"/>
            </w:pPr>
            <w:r>
              <w:rPr>
                <w:rFonts w:ascii="Cambria" w:hAnsi="Cambria"/>
                <w:b w:val="false"/>
                <w:sz w:val="24"/>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pPr>
              <w:spacing w:line="360" w:lineRule="auto"/>
              <w:ind w:left="0" w:right="0" w:firstLine="493"/>
            </w:pPr>
            <w:r>
              <w:rPr>
                <w:rFonts w:ascii="Cambria" w:hAnsi="Cambria"/>
                <w:b w:val="false"/>
                <w:sz w:val="24"/>
              </w:rPr>
              <w:t>Matricea de evaluare a viabilităţii economice a proiectului pentru Anexa B (persoane juridice):</w:t>
            </w:r>
          </w:p>
          <w:p>
            <w:pPr>
              <w:spacing w:line="360" w:lineRule="auto"/>
              <w:ind w:left="0" w:right="0" w:firstLine="493"/>
            </w:pPr>
            <w:r>
              <w:rPr>
                <w:rFonts w:ascii="Cambria" w:hAnsi="Cambria"/>
                <w:b w:val="false"/>
                <w:sz w:val="24"/>
              </w:rPr>
              <w:t>Verificarea indicatorilor economico-financiari constă în verificarea încadrării acestora în limitele menţionate în coloana 3 a matricei de mai jos. Limitele impuse se referă la urmatorii indicatori: </w:t>
            </w:r>
          </w:p>
          <w:p>
            <w:pPr>
              <w:spacing w:line="360" w:lineRule="auto"/>
              <w:ind w:left="0" w:right="0" w:firstLine="493"/>
            </w:pPr>
            <w:r>
              <w:rPr>
                <w:rFonts w:ascii="Cambria" w:hAnsi="Cambria"/>
                <w:b w:val="false"/>
                <w:sz w:val="24"/>
              </w:rPr>
              <w:t>Rata rezultatului din exploatare,</w:t>
            </w:r>
          </w:p>
          <w:p>
            <w:pPr>
              <w:spacing w:line="360" w:lineRule="auto"/>
              <w:ind w:left="0" w:right="0" w:firstLine="493"/>
            </w:pPr>
            <w:r>
              <w:rPr>
                <w:rFonts w:ascii="Cambria" w:hAnsi="Cambria"/>
                <w:b w:val="false"/>
                <w:sz w:val="24"/>
              </w:rPr>
              <w:t>Durata de recuperare a investiţiei,</w:t>
            </w:r>
          </w:p>
          <w:p>
            <w:pPr>
              <w:spacing w:line="360" w:lineRule="auto"/>
              <w:ind w:left="0" w:right="0" w:firstLine="493"/>
            </w:pPr>
            <w:r>
              <w:rPr>
                <w:rFonts w:ascii="Cambria" w:hAnsi="Cambria"/>
                <w:b w:val="false"/>
                <w:sz w:val="24"/>
              </w:rPr>
              <w:t>Rata rentabilitătii capitalului investit,</w:t>
            </w:r>
          </w:p>
          <w:p>
            <w:pPr>
              <w:spacing w:line="360" w:lineRule="auto"/>
              <w:ind w:left="0" w:right="0" w:firstLine="493"/>
            </w:pPr>
            <w:r>
              <w:rPr>
                <w:rFonts w:ascii="Cambria" w:hAnsi="Cambria"/>
                <w:b w:val="false"/>
                <w:sz w:val="24"/>
              </w:rPr>
              <w:t>Rata acoperirii prin fluxul de numerar,</w:t>
            </w:r>
          </w:p>
          <w:p>
            <w:pPr>
              <w:spacing w:line="360" w:lineRule="auto"/>
              <w:ind w:left="0" w:right="0" w:firstLine="493"/>
            </w:pPr>
            <w:r>
              <w:rPr>
                <w:rFonts w:ascii="Cambria" w:hAnsi="Cambria"/>
                <w:b w:val="false"/>
                <w:sz w:val="24"/>
              </w:rPr>
              <w:t>Rata îndatorării,</w:t>
            </w:r>
          </w:p>
          <w:p>
            <w:pPr>
              <w:spacing w:line="360" w:lineRule="auto"/>
              <w:ind w:left="0" w:right="0" w:firstLine="493"/>
            </w:pPr>
            <w:r>
              <w:rPr>
                <w:rFonts w:ascii="Cambria" w:hAnsi="Cambria"/>
                <w:b w:val="false"/>
                <w:sz w:val="24"/>
              </w:rPr>
              <w:t>Valoarea actualizată netă (VAN),</w:t>
            </w:r>
          </w:p>
          <w:p>
            <w:pPr>
              <w:spacing w:line="360" w:lineRule="auto"/>
              <w:ind w:left="0" w:right="0" w:firstLine="493"/>
            </w:pPr>
            <w:r>
              <w:rPr>
                <w:rFonts w:ascii="Cambria" w:hAnsi="Cambria"/>
                <w:b w:val="false"/>
                <w:sz w:val="24"/>
              </w:rPr>
              <w:t>Disponibil de numerar curent.</w:t>
            </w:r>
          </w:p>
          <w:p>
            <w:pPr>
              <w:spacing w:line="360" w:lineRule="auto"/>
              <w:ind w:left="0" w:right="0" w:firstLine="493"/>
            </w:pPr>
            <w:r>
              <w:rPr>
                <w:rFonts w:ascii="Cambria" w:hAnsi="Cambria"/>
                <w:b w:val="false"/>
                <w:sz w:val="24"/>
              </w:rPr>
              <w:t>Acei indicatori pentru care nu sunt stabilite limite maxime sau minime de variaţie au menţiunea “N/A”.</w:t>
            </w:r>
          </w:p>
          <w:p>
            <w:pPr>
              <w:spacing w:line="360" w:lineRule="auto"/>
              <w:ind w:left="0" w:right="0" w:firstLine="493"/>
            </w:pPr>
            <w:r>
              <w:rPr>
                <w:rFonts w:ascii="Cambria" w:hAnsi="Cambria"/>
                <w:b w:val="false"/>
                <w:sz w:val="24"/>
              </w:rPr>
              <w:t>Respectarea încadrării indicatorilor în limitele admisibile prin program se face în mod automat în coloana 11 a matricei de verificare prin apariţia mesajului “Respectă criteriul” pentru fiecare din indicatorii mentionaţi mai sus.</w:t>
            </w:r>
          </w:p>
          <w:p>
            <w:pPr>
              <w:spacing w:line="360" w:lineRule="auto"/>
              <w:ind w:left="0" w:right="0" w:firstLine="493"/>
            </w:pPr>
            <w:r>
              <w:rPr>
                <w:rFonts w:ascii="Cambria" w:hAnsi="Cambria"/>
                <w:b w:val="false"/>
                <w:sz w:val="24"/>
              </w:rPr>
              <w:t>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w:t>
            </w:r>
          </w:p>
          <w:p>
            <w:pPr>
              <w:spacing w:line="360" w:lineRule="auto"/>
              <w:ind w:left="0" w:right="0" w:firstLine="493"/>
            </w:pPr>
            <w:r>
              <w:rPr>
                <w:rFonts w:ascii="Cambria" w:hAnsi="Cambria"/>
                <w:b w:val="false"/>
                <w:sz w:val="24"/>
              </w:rPr>
              <w:t>Dacă  indicatorii se încadrează în limitele menţionate şi rezultatul operaţional din bilanţ este pozitiv, expertul bifează caseta DA corespunzatoare acestui criteriu de eligibilitate.</w:t>
            </w:r>
          </w:p>
          <w:p>
            <w:pPr>
              <w:spacing w:line="360" w:lineRule="auto"/>
              <w:ind w:left="0" w:right="0" w:firstLine="493"/>
            </w:pPr>
            <w:r>
              <w:rPr>
                <w:rFonts w:ascii="Cambria" w:hAnsi="Cambria"/>
                <w:b w:val="false"/>
                <w:sz w:val="24"/>
              </w:rPr>
              <w:t>Matricea de evaluare a viabilităţii economice a proiectului pentru Anexa C (persoane fizice autorizate, întreprinderi individuale, întreprinderi familiale):</w:t>
            </w:r>
          </w:p>
          <w:p>
            <w:pPr>
              <w:spacing w:line="360" w:lineRule="auto"/>
              <w:ind w:left="0" w:right="0" w:firstLine="493"/>
            </w:pPr>
            <w:r>
              <w:rPr>
                <w:rFonts w:ascii="Cambria" w:hAnsi="Cambria"/>
                <w:b w:val="false"/>
                <w:sz w:val="24"/>
              </w:rPr>
              <w:t>Verificarea indicatorilor economico-financiari constă în verificarea încadrării acestora în limitele menţionate în coloana 3 a matricei de verificare. Limitele impuse se referă la următorii indicatori:</w:t>
            </w:r>
          </w:p>
          <w:p>
            <w:pPr>
              <w:spacing w:line="360" w:lineRule="auto"/>
              <w:ind w:left="0" w:right="0" w:firstLine="493"/>
            </w:pPr>
            <w:r>
              <w:rPr>
                <w:rFonts w:ascii="Cambria" w:hAnsi="Cambria"/>
                <w:b w:val="false"/>
                <w:sz w:val="24"/>
              </w:rPr>
              <w:t>Durata de recuperare a investiţiei</w:t>
            </w:r>
          </w:p>
          <w:p>
            <w:pPr>
              <w:spacing w:line="360" w:lineRule="auto"/>
              <w:ind w:left="0" w:right="0" w:firstLine="493"/>
            </w:pPr>
            <w:r>
              <w:rPr>
                <w:rFonts w:ascii="Cambria" w:hAnsi="Cambria"/>
                <w:b w:val="false"/>
                <w:sz w:val="24"/>
              </w:rPr>
              <w:t>Rata acoperirii prin fluxul de numerar</w:t>
            </w:r>
          </w:p>
          <w:p>
            <w:pPr>
              <w:spacing w:line="360" w:lineRule="auto"/>
              <w:ind w:left="0" w:right="0" w:firstLine="493"/>
            </w:pPr>
            <w:r>
              <w:rPr>
                <w:rFonts w:ascii="Cambria" w:hAnsi="Cambria"/>
                <w:b w:val="false"/>
                <w:sz w:val="24"/>
              </w:rPr>
              <w:t>Valoarea actualizată neta (VAN)</w:t>
            </w:r>
          </w:p>
          <w:p>
            <w:pPr>
              <w:spacing w:line="360" w:lineRule="auto"/>
              <w:ind w:left="0" w:right="0" w:firstLine="493"/>
            </w:pPr>
            <w:r>
              <w:rPr>
                <w:rFonts w:ascii="Cambria" w:hAnsi="Cambria"/>
                <w:b w:val="false"/>
                <w:sz w:val="24"/>
              </w:rPr>
              <w:t>Disponibil de numerar la sfârşitul perioadei</w:t>
            </w:r>
          </w:p>
          <w:p>
            <w:pPr>
              <w:spacing w:line="360" w:lineRule="auto"/>
              <w:ind w:left="0" w:right="0" w:firstLine="493"/>
            </w:pPr>
            <w:r>
              <w:rPr>
                <w:rFonts w:ascii="Cambria" w:hAnsi="Cambria"/>
                <w:b w:val="false"/>
                <w:sz w:val="24"/>
              </w:rPr>
              <w:t>Acei indicatori pentru care nu sunt stabilite limite maxime sau minime de variaţie au menţiunea “N/A”.</w:t>
            </w:r>
          </w:p>
          <w:p>
            <w:pPr>
              <w:spacing w:line="360" w:lineRule="auto"/>
              <w:ind w:left="0" w:right="0" w:firstLine="493"/>
            </w:pPr>
            <w:r>
              <w:rPr>
                <w:rFonts w:ascii="Cambria" w:hAnsi="Cambria"/>
                <w:b w:val="false"/>
                <w:sz w:val="24"/>
              </w:rPr>
              <w:t>Respectarea încadrării indicatorilor în limitele admisibile prin program se face în mod automat în coloana 11 a matricei de verificare prin apariţia mesajului “Respectă criteriul” pentru fiecare din indicatorii mentionaţi mai sus.</w:t>
            </w:r>
          </w:p>
          <w:p>
            <w:pPr>
              <w:spacing w:line="360" w:lineRule="auto"/>
              <w:ind w:left="0" w:right="0" w:firstLine="493"/>
            </w:pPr>
            <w:r>
              <w:rPr>
                <w:rFonts w:ascii="Cambria" w:hAnsi="Cambria"/>
                <w:b w:val="false"/>
                <w:sz w:val="24"/>
              </w:rPr>
              <w:t>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pPr>
              <w:spacing w:line="360" w:lineRule="auto"/>
              <w:ind w:left="0" w:right="0" w:firstLine="493"/>
            </w:pPr>
            <w:r>
              <w:rPr>
                <w:rFonts w:ascii="Cambria" w:hAnsi="Cambria"/>
                <w:b w:val="false"/>
                <w:sz w:val="24"/>
              </w:rPr>
              <w:t>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w:t>
            </w:r>
          </w:p>
          <w:p>
            <w:pPr>
              <w:spacing w:line="360" w:lineRule="auto"/>
              <w:ind w:left="0" w:right="0" w:firstLine="493"/>
            </w:pPr>
            <w:r>
              <w:rPr>
                <w:rFonts w:ascii="Cambria" w:hAnsi="Cambria"/>
                <w:b w:val="false"/>
                <w:sz w:val="24"/>
              </w:rPr>
              <w:t>Totodată se verifică dacă există neconcordanţe intre cheltuielile propuse in SF/ MJ/ DALI în raport cu nevoile reale ale investiţiei.</w:t>
            </w:r>
          </w:p>
          <w:p>
            <w:pPr>
              <w:spacing w:line="360" w:lineRule="auto"/>
              <w:ind w:left="0" w:right="0" w:firstLine="493"/>
            </w:pPr>
            <w:r>
              <w:rPr>
                <w:rFonts w:ascii="Cambria" w:hAnsi="Cambria"/>
                <w:b w:val="false"/>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pPr>
              <w:spacing w:line="360" w:lineRule="auto"/>
              <w:ind w:left="0" w:right="0" w:firstLine="493"/>
            </w:pPr>
            <w:r>
              <w:rPr>
                <w:rFonts w:ascii="Cambria" w:hAnsi="Cambria"/>
                <w:b w:val="false"/>
                <w:sz w:val="24"/>
              </w:rPr>
              <w:t>Dacă indicatorii conform matricei de viabilitate se încadrează în limitele menţionate şi rezultatul din situaţiile financiare (cpp şi declaratia 200) este pozitiv, expertul bifează caseta DA corespunzătoare acestei condiţii minime.</w:t>
            </w:r>
          </w:p>
          <w:p>
            <w:pPr>
              <w:spacing w:line="360" w:lineRule="auto"/>
              <w:ind w:left="0" w:right="0" w:firstLine="493"/>
            </w:pPr>
            <w:r>
              <w:rPr>
                <w:rFonts w:ascii="Cambria" w:hAnsi="Cambria"/>
                <w:b w:val="false"/>
                <w:sz w:val="24"/>
              </w:rPr>
              <w:t>Se corelează informaţiile din previziuni cu cele din SF/ MJ referitoare la tipul şi capacitatea de producţie.</w:t>
            </w:r>
          </w:p>
          <w:p>
            <w:pPr>
              <w:spacing w:line="360" w:lineRule="auto"/>
              <w:ind w:left="0" w:right="0" w:firstLine="493"/>
            </w:pPr>
            <w:r>
              <w:rPr>
                <w:rFonts w:ascii="Cambria" w:hAnsi="Cambria"/>
                <w:b w:val="false"/>
                <w:sz w:val="24"/>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 Întreprinderea nu trebuie să fie în dificultate în conformitate cu Liniile directoare privind ajutorul de stat pentru salvarea și restructurarea întreprinderilor în dificultate;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Cererea de finanțare.- Cerere de finanțare -Angajamente asumate prin Declaratia partea F.- Bilanțul contabil pentru ultimii 2 ani anterior depunerii Cererii definanțare.- Declaraţie pe propria răspundere a solicitantului cu privire laneîncadrarea în categoria "firma în dificultate"(dacă este cazul).Metodologie: Dacă în urma verificării documentelor se constatărespectarea condițiilor impuse, expertul bifeaza DA. În caz contrarexpertul bifează NU, motivează poziția lui la rubrica Observații, iarcererea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 Beneficiarul trebuie sa dovedească dreptul de proprietate asupra terenului pe care urmează sa realizeze investiția sau dreptul de folosință pe o perioada de cel puțin 10 ani;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Documentele pentru terenurile și/sau clădirile aferente realizării investiției/ locaţia de implementare a proiectului expertul verifica urmatoarele documente si conditii, dupa caz:</w:t>
            </w:r>
          </w:p>
          <w:p>
            <w:pPr>
              <w:spacing w:line="360" w:lineRule="auto"/>
              <w:ind w:left="0" w:right="0" w:firstLine="493"/>
            </w:pPr>
            <w:r>
              <w:rPr>
                <w:rFonts w:ascii="Cambria" w:hAnsi="Cambria"/>
                <w:b w:val="false"/>
                <w:sz w:val="24"/>
              </w:rPr>
              <w:t>Pentru beneficiari privaţi</w:t>
            </w:r>
          </w:p>
          <w:p>
            <w:pPr>
              <w:spacing w:line="360" w:lineRule="auto"/>
              <w:ind w:left="0" w:right="0" w:firstLine="493"/>
            </w:pPr>
            <w:r>
              <w:rPr>
                <w:rFonts w:ascii="Cambria" w:hAnsi="Cambria"/>
                <w:b w:val="false"/>
                <w:sz w:val="24"/>
              </w:rPr>
              <w:t>Pentru proiecte cu construcţii-montaj (pot include dotări şi echipamente fără montaj) care necesită Autorizaţie de construire</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Actele doveditoare ale dreptului de proprietate privată, reprezentate de înscrisurile constatatoare ale unui act juridic civil, jurisdicțional sau administrativ cu efect constitutiv translativ sau declarativ de proprietate, precum:</w:t>
            </w:r>
          </w:p>
          <w:p>
            <w:pPr>
              <w:spacing w:line="360" w:lineRule="auto"/>
              <w:ind w:left="0" w:right="0" w:firstLine="493"/>
            </w:pPr>
            <w:r>
              <w:rPr>
                <w:rFonts w:ascii="Cambria" w:hAnsi="Cambria"/>
                <w:b w:val="false"/>
                <w:sz w:val="24"/>
              </w:rPr>
              <w:t>Actele juridice translative de proprietate, precum contractele de vânzare-cumpărare, donație, schimb, etc;</w:t>
            </w:r>
          </w:p>
          <w:p>
            <w:pPr>
              <w:spacing w:line="360" w:lineRule="auto"/>
              <w:ind w:left="0" w:right="0" w:firstLine="493"/>
            </w:pPr>
            <w:r>
              <w:rPr>
                <w:rFonts w:ascii="Cambria" w:hAnsi="Cambria"/>
                <w:b w:val="false"/>
                <w:sz w:val="24"/>
              </w:rPr>
              <w:t>Actele juridice declarative de proprietate, precum împărțeala judiciară sau tranzacția;</w:t>
            </w:r>
          </w:p>
          <w:p>
            <w:pPr>
              <w:spacing w:line="360" w:lineRule="auto"/>
              <w:ind w:left="0" w:right="0" w:firstLine="493"/>
            </w:pPr>
            <w:r>
              <w:rPr>
                <w:rFonts w:ascii="Cambria" w:hAnsi="Cambria"/>
                <w:b w:val="false"/>
                <w:sz w:val="24"/>
              </w:rPr>
              <w:t>Actele jurisdicționale declarative, precum hotărârile judecătorești cu putere de res-judicata, de partaj, de constatare a uzucapiunii imobiliare, etc.</w:t>
            </w:r>
          </w:p>
          <w:p>
            <w:pPr>
              <w:spacing w:line="360" w:lineRule="auto"/>
              <w:ind w:left="0" w:right="0" w:firstLine="493"/>
            </w:pPr>
            <w:r>
              <w:rPr>
                <w:rFonts w:ascii="Cambria" w:hAnsi="Cambria"/>
                <w:b w:val="false"/>
                <w:sz w:val="24"/>
              </w:rPr>
              <w:t>Actele jurisdicționale, precum ordonanțele de adjudecare.</w:t>
            </w:r>
          </w:p>
          <w:p>
            <w:pPr>
              <w:spacing w:line="360" w:lineRule="auto"/>
              <w:ind w:left="0" w:right="0" w:firstLine="493"/>
            </w:pPr>
            <w:r>
              <w:rPr>
                <w:rFonts w:ascii="Cambria" w:hAnsi="Cambria"/>
                <w:b w:val="false"/>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În cazul contractului de concesiune pentru clădiri, acesta va fi însoțit de o adresă emisă de concedent care să specifice dacă pentru clădirea concesionată există solicitări privind retrocedarea.</w:t>
            </w:r>
          </w:p>
          <w:p>
            <w:pPr>
              <w:spacing w:line="360" w:lineRule="auto"/>
              <w:ind w:left="0" w:right="0" w:firstLine="493"/>
            </w:pPr>
            <w:r>
              <w:rPr>
                <w:rFonts w:ascii="Cambria" w:hAnsi="Cambria"/>
                <w:b w:val="false"/>
                <w:sz w:val="24"/>
              </w:rPr>
              <w:t>În cazul contractului de concesiune pentru terenuri, acesta va fi însoțit de o adresă emisă de concedent care să specifice:</w:t>
            </w:r>
          </w:p>
          <w:p>
            <w:pPr>
              <w:spacing w:line="360" w:lineRule="auto"/>
              <w:ind w:left="0" w:right="0" w:firstLine="493"/>
            </w:pPr>
            <w:r>
              <w:rPr>
                <w:rFonts w:ascii="Cambria" w:hAnsi="Cambria"/>
                <w:b w:val="false"/>
                <w:sz w:val="24"/>
              </w:rPr>
              <w:t>- suprafaţa concesionată la zi - dacă pentru suprafaţa concesionată există solicitări privind retrocedarea sau diminuarea şi dacă da, să se menţioneze care este suprafaţa supusă acestui proces;</w:t>
            </w:r>
          </w:p>
          <w:p>
            <w:pPr>
              <w:spacing w:line="360" w:lineRule="auto"/>
              <w:ind w:left="0" w:right="0" w:firstLine="493"/>
            </w:pPr>
            <w:r>
              <w:rPr>
                <w:rFonts w:ascii="Cambria" w:hAnsi="Cambria"/>
                <w:b w:val="false"/>
                <w:sz w:val="24"/>
              </w:rPr>
              <w:t>- situaţia privind respectarea clauzelor contractuale, dacă este în graficul de realizare a investiţiilor prevăzute în contract, dacă concesionarul şi-a respectat graficul de plată a redevenţei şi alte clauze.</w:t>
            </w:r>
          </w:p>
          <w:p>
            <w:pPr>
              <w:spacing w:line="360" w:lineRule="auto"/>
              <w:ind w:left="0" w:right="0" w:firstLine="493"/>
            </w:pPr>
            <w:r>
              <w:rPr>
                <w:rFonts w:ascii="Cambria" w:hAnsi="Cambria"/>
                <w:b w:val="false"/>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Expertul va obține Extrasul de Carte Funciară aferent imobilului (teren/ clădire) pe baza datelor cadastrale înscrise de către solicitant in Cererea de Finanţare în secţiunea dedicată.</w:t>
            </w:r>
          </w:p>
          <w:p>
            <w:pPr>
              <w:spacing w:line="360" w:lineRule="auto"/>
              <w:ind w:left="0" w:right="0" w:firstLine="493"/>
            </w:pPr>
            <w:r>
              <w:rPr>
                <w:rFonts w:ascii="Cambria" w:hAnsi="Cambria"/>
                <w:b w:val="false"/>
                <w:sz w:val="24"/>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pPr>
              <w:spacing w:line="360" w:lineRule="auto"/>
              <w:ind w:left="0" w:right="0" w:firstLine="493"/>
            </w:pPr>
            <w:r>
              <w:rPr>
                <w:rFonts w:ascii="Cambria" w:hAnsi="Cambria"/>
                <w:b w:val="false"/>
                <w:sz w:val="24"/>
              </w:rPr>
              <w:t>Extrasul de carte funciară pentru informare trebuie să conţină planul parcelar cu localizare certă.</w:t>
            </w:r>
          </w:p>
          <w:p>
            <w:pPr>
              <w:spacing w:line="360" w:lineRule="auto"/>
              <w:ind w:left="0" w:right="0" w:firstLine="493"/>
            </w:pPr>
            <w:r>
              <w:rPr>
                <w:rFonts w:ascii="Cambria" w:hAnsi="Cambria"/>
                <w:b w:val="false"/>
                <w:sz w:val="24"/>
              </w:rPr>
              <w:t>NU  se acceptă la depunerea Cererii de finanţare Extras de carte funciară pentru informare cu menţiunea “imobil înregistrat în planul cadastral fără localizare certă datorită lipsei planului parcelar”.</w:t>
            </w:r>
          </w:p>
          <w:p>
            <w:pPr>
              <w:spacing w:line="360" w:lineRule="auto"/>
              <w:ind w:left="0" w:right="0" w:firstLine="493"/>
            </w:pPr>
            <w:r>
              <w:rPr>
                <w:rFonts w:ascii="Cambria" w:hAnsi="Cambria"/>
                <w:b w:val="false"/>
                <w:sz w:val="24"/>
              </w:rPr>
              <w:t>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 dreptul de concesiune,</w:t>
            </w:r>
          </w:p>
          <w:p>
            <w:pPr>
              <w:spacing w:line="360" w:lineRule="auto"/>
              <w:ind w:left="0" w:right="0" w:firstLine="493"/>
            </w:pPr>
            <w:r>
              <w:rPr>
                <w:rFonts w:ascii="Cambria" w:hAnsi="Cambria"/>
                <w:b w:val="false"/>
                <w:sz w:val="24"/>
              </w:rPr>
              <w:t>- dreptul de superficie,</w:t>
            </w:r>
          </w:p>
          <w:p>
            <w:pPr>
              <w:spacing w:line="360" w:lineRule="auto"/>
              <w:ind w:left="0" w:right="0" w:firstLine="493"/>
            </w:pPr>
            <w:r>
              <w:rPr>
                <w:rFonts w:ascii="Cambria" w:hAnsi="Cambria"/>
                <w:b w:val="false"/>
                <w:sz w:val="24"/>
              </w:rPr>
              <w:t>- dreptul de uzufruct;</w:t>
            </w:r>
          </w:p>
          <w:p>
            <w:pPr>
              <w:spacing w:line="360" w:lineRule="auto"/>
              <w:ind w:left="0" w:right="0" w:firstLine="493"/>
            </w:pPr>
            <w:r>
              <w:rPr>
                <w:rFonts w:ascii="Cambria" w:hAnsi="Cambria"/>
                <w:b w:val="false"/>
                <w:sz w:val="24"/>
              </w:rPr>
              <w:t>- dreptul de folosință cu titlul gratuit;</w:t>
            </w:r>
          </w:p>
          <w:p>
            <w:pPr>
              <w:spacing w:line="360" w:lineRule="auto"/>
              <w:ind w:left="0" w:right="0" w:firstLine="493"/>
            </w:pPr>
            <w:r>
              <w:rPr>
                <w:rFonts w:ascii="Cambria" w:hAnsi="Cambria"/>
                <w:b w:val="false"/>
                <w:sz w:val="24"/>
              </w:rPr>
              <w:t>- împrumutul de folosință (comodat);</w:t>
            </w:r>
          </w:p>
          <w:p>
            <w:pPr>
              <w:spacing w:line="360" w:lineRule="auto"/>
              <w:ind w:left="0" w:right="0" w:firstLine="493"/>
            </w:pPr>
            <w:r>
              <w:rPr>
                <w:rFonts w:ascii="Cambria" w:hAnsi="Cambria"/>
                <w:b w:val="false"/>
                <w:sz w:val="24"/>
              </w:rPr>
              <w:t>- dreptul de închiriere / locațiune</w:t>
            </w:r>
          </w:p>
          <w:p>
            <w:pPr>
              <w:spacing w:line="360" w:lineRule="auto"/>
              <w:ind w:left="0" w:right="0" w:firstLine="493"/>
            </w:pPr>
            <w:r>
              <w:rPr>
                <w:rFonts w:ascii="Cambria" w:hAnsi="Cambria"/>
                <w:b w:val="false"/>
                <w:sz w:val="24"/>
              </w:rPr>
              <w:t>De ex.: contract de cesiune, contract de concesiune, contract de locațiune/închiriere, contract de comodat.</w:t>
            </w:r>
          </w:p>
          <w:p>
            <w:pPr>
              <w:spacing w:line="360" w:lineRule="auto"/>
              <w:ind w:left="0" w:right="0" w:firstLine="493"/>
            </w:pPr>
            <w:r>
              <w:rPr>
                <w:rFonts w:ascii="Cambria" w:hAnsi="Cambria"/>
                <w:b w:val="false"/>
                <w:sz w:val="24"/>
              </w:rPr>
              <w:t>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pPr>
              <w:spacing w:line="360" w:lineRule="auto"/>
              <w:ind w:left="0" w:right="0" w:firstLine="493"/>
            </w:pPr>
            <w:r>
              <w:rPr>
                <w:rFonts w:ascii="Cambria" w:hAnsi="Cambria"/>
                <w:b w:val="false"/>
                <w:sz w:val="24"/>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pPr>
              <w:spacing w:line="360" w:lineRule="auto"/>
              <w:ind w:left="0" w:right="0" w:firstLine="493"/>
            </w:pPr>
            <w:r>
              <w:rPr>
                <w:rFonts w:ascii="Cambria" w:hAnsi="Cambria"/>
                <w:b w:val="false"/>
                <w:sz w:val="24"/>
              </w:rPr>
              <w:t>Atenție! Nu se acceptă documente cu încheiere de dată certă emise de către un notar public.</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 Codul CAEN pentru care solicită finanţare este eligibil în cadrul apelului de proiecte;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Domeniul de activitate al solicitantului se regăsește în Lista CodurilorCAEN eligibile, atașată la data lansării apelului de selecție (Anexa 13la Ghidul solicitantului).Se va verifica:- Cererea de finanțare/Studiul de fezabilitate/DALI/Memoriu justificativ;- Anexa 13 - Lista codurilor CAEN aferente activităților neagricoleeligibile.Metodologie: Dacă în urma verificării documentelor se constatărespectarea condițiilor impuse, expertul bifeaza DA. În caz contrarexpertul bifează NU, motivează poziția lui la rubrica Observații, iarcererea de finanțare va fi declarată neeligibilă.În cazul în care codul CAEN nu se regăsește în lista codurilor eligibile,proiectul este declarat neeligibil.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 Proiectul include componente de mediu si clima si protectie a mediului inconjurator;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 verificat:Studiul de Fezabilitate/Documentaţia de Avizare pentru Lucrăride Intervenţii/ Memoriul Justificativ.Proiectul va include obligatoriu o componenta de mediu și clima și protecția mediului încojurător:*Ex.: utilizarea surselor regenerabile de energie, utilizare unortehnologii și/sau echipamente care permit creșterea eficiențeienergetice, minimizarea la sursă a deșeurilor generate și/saucolectarea selectivă și/sau colectarea selectivă și/sau creștereagradului de recuperare și/sau reciclare a deșeurilor, etc).</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 Structurile de primire turistice vor fi în conformitate cu normele de clasificare prevăzute în legislația națională în vigoare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cazul investițiilor în structuri de primire turistică și agroturistică sevor respecta normele de clasificare prevăzute de legislația naționalăîn vigoare.Se va verifica:- Cererea de finanțare;- Studiul de fezabilitate/DALI/Memoriu justificativ;- Investiția propusă este în conformitate cu prevederile legislației învigoare privind activitățile non-agricole aferente structurilor deprimire turistică cu funcțiuni de cazare sau restaurante clasificateconform Ordinului ANT 65/2013.Metodologie: Dacă în urma verificării documentelor se constatărespectarea condițiilor impuse, expertul bifeaza DA. În caz contrarexpertul bifează NU, motivează poziția lui la rubrica Observații, iarcererea de finanțare va fi declarată neeligibilă.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 Solicitantul trebuie să demonstreze crearea a cel puțin unui loc de muncă nou, cu normă întreagă, ca urmare a implementării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Metodologia de verificare si documente obligatorii:Se verifică:- SF/DALI/ML/CF;- Cererea de finanțare - ANEXA INDICATORI DE REZULTAT ȘI DE REALIZARE.Se vor avea în vedere doar acele locuri de muncă ce contribuie nemijlocit la desfășurarea activităților propuse, fiind încadrateîn categoria locurilor de muncă direct productive. Prin locuri de muncă direct productive se înțeleg acele posturi care contribuie efectiv la realizarea activității economice propuse, fără a se limita la funcții de suport sau administrative.SF/DALI/ML/CF prevede clar postul și norma de muncă.</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Sectorul de activitate vizat prin proiect</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Proiecte ce vizează activități de producție </w:t>
            </w:r>
          </w:p>
        </w:tc>
        <w:tc>
          <w:tcPr>
            <w:vAlign w:val="center"/>
          </w:tcPr>
          <w:p>
            <w:pPr>
              <w:keepNext/>
              <w:jc w:val="center"/>
            </w:pPr>
            <w:r>
              <w:rPr>
                <w:rFonts w:ascii="Cambria" w:hAnsi="Cambria"/>
                <w:b w:val="false"/>
                <w:sz w:val="24"/>
              </w:rPr>
              <w:t>40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proiectul vizeaza activități de producție, se va verifica codul CAEN al activitatii propuse prin proiectSe verifică:- SF/DALI/MJ/CF;- Certificat constatator ONRC;- Anexa 13 - Lista codurilor CAEN aferente activităților neagricole eligibile.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Proiecte ce vizează prestarea de servicii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acorda punctaj daca proiectul vizeaza activități de prestări servicii, se va verifica codul CAEN al activitatii propuseprin proiect.- SF/DALI/MJ/CF;- Certificat constatator ONRC;- Anexa 13 - Lista codurilor CAEN aferente activităților neagricole eligibile.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depuse de femei si/sau tineri ( cu vârsta intre 18-30 de ani );</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depuse de femei si/sau tineri ( cu vârsta intre 18-30 de ani );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vârsta și/sau genul administratorului/asociatului majoritar/titularului intreprinderii care aplică.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prevăd diversificarea activității agricole a fermelor existente către activități neagricole. </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 care prevăd diversificarea activității agricole a fermelor existente către activități neagricole.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 si documente obligatorii:Se acorda punctaj daca proiectul este inițiat de o întreprindere existentă, care a desfășurat în principal activitate îndomeniul agricol și intenționează să-și diversifice activitatea în sectorul non-agricol. Activitatea agricolă trebuie să fie realizată pe perioada a cel puțin 12 luni de la data înființării și până la data depunerii cererii de finanțare.Se verifică copia act de identitate al acționarului / asociatului care deține cel puțin 50 % din acțiuni /părți sociale etc în cadrul firmei solicitanteSe verifica in Baza de date APIA sau în Registrul Exploatatiei ANSVSA sau în extrasul din Registrul Agricol dacaexploatația este înscrisă în aceste evidențe cu cel puțin 12 luni consecutive inainte de data depunerii Cererii de Finantare pe numele acționarului / asociatului care deține cel puțin 50 % din acțiuni, părți sociale etc în cadrul firmei solicitante.Este necesara inregistrarea cu terenuri in Baza de date APIA, nu doar atribuirea de cod RO APIA.Expertul înscrie ”10 puncte” în coloana Scor daca in urma verificarii sunt îndeplinite cumulativ condițiile:-exploatația este înregistrată în Baza de date APIA sau în Registrul Exploatatiei ANSVSA sau în Registrul Agricol, cuminimum 12 luni înainte de data depunerii CF și- acționarul / asociatul care deține cel puțin 50 % din acțiuni /părți sociale etc în cadrul firmei solicitante, dețineexploatația..In caz contrar, expertul va inscrie ”0” in coloana ScorDocumente de prezentat pentru acordarea punctajului:Extras din Registrul AgricolBaza de date APIA/Registrul ANSVSASituatii financiare/ Declaratie speciala 200 sau alt document echivalent/ Declaratie privind veniturile din activitati agricole 221 sau alt document echivalent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vizează crearea de noi locuri de muncă</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 care vizează crearea a 2 locuri de muncă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SF/DALI/MJ/CF;- Cererea de finanțare - ANEXA INDICATORI DE REZULTAT ȘI DE REALIZARE.Se vor avea în vedere doar acele locuri de muncă ce contribuie nemijlocit la desfășurarea activităților propuse, fiind încadrate în categoria locurilor de muncă direct productive. Prin locuri de muncă direct productive se înțeleg acele posturi care contribuie efectiv la realizarea activității economice propuse, fără a se limita la funcții de suport sau administrative.SF/DALI/MJ/CF prevede clar postul și norma de muncă.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4.2</w:t>
            </w:r>
          </w:p>
        </w:tc>
        <w:tc>
          <w:tcPr>
            <w:shd w:val="clear" w:color="auto" w:fill="F8ECD2"/>
            <w:vAlign w:val="center"/>
          </w:tcPr>
          <w:p>
            <w:r>
              <w:rPr>
                <w:rFonts w:ascii="Cambria" w:hAnsi="Cambria"/>
                <w:b w:val="false"/>
                <w:color w:val="58400C"/>
                <w:sz w:val="24"/>
              </w:rPr>
              <w:t>Proiecte care vizează crearea a 1 loc de muncă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 SF/DALI/MJ/CF;- Cererea de finanțare - ANEXA INDICATORI DE REZULTAT ȘI DE REALIZARE.Se vor avea în vedere doar acele locuri de muncă ce contribuie nemijlocit la desfășurarea activităților propuse, fiind încadrate în categoria locurilor de muncă direct productive. Prin locuri de muncă direct productive se înțeleg acele posturi care contribuie efectiv la realizarea activității economice propuse, fără a se limita la funcții de suport sau administrative.SF/DALI/MJ/CF prevede clar postul și norma de muncă.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Prioritizarea proiectelor cu o componenta de protejare a mediului si climei/energie verde </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5.1</w:t>
            </w:r>
          </w:p>
        </w:tc>
        <w:tc>
          <w:tcPr>
            <w:shd w:val="clear" w:color="auto" w:fill="F8ECD2"/>
            <w:vAlign w:val="center"/>
          </w:tcPr>
          <w:p>
            <w:r>
              <w:rPr>
                <w:rFonts w:ascii="Cambria" w:hAnsi="Cambria"/>
                <w:b w:val="false"/>
                <w:color w:val="58400C"/>
                <w:sz w:val="24"/>
              </w:rPr>
              <w:t>Prioritizarea proiectelor cu o componenta de protejare a mediului si climei/energie verde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 Se verifică dacă prin proiect sunt propuse pentru achizitie echipamente /instalatii care produc energie din surseregenerabile.Se acordă punctaj doar dacă echipamente/instalațiile propuse a fi achiziționate prin proiect reprezintă cel puțin20% din valoarea eligibilă a proiectului.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Prioritizarea afacerilor mici in vederea dezvoltarii </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6.1</w:t>
            </w:r>
          </w:p>
        </w:tc>
        <w:tc>
          <w:tcPr>
            <w:shd w:val="clear" w:color="auto" w:fill="F8ECD2"/>
            <w:vAlign w:val="center"/>
          </w:tcPr>
          <w:p>
            <w:r>
              <w:rPr>
                <w:rFonts w:ascii="Cambria" w:hAnsi="Cambria"/>
                <w:b w:val="false"/>
                <w:color w:val="58400C"/>
                <w:sz w:val="24"/>
              </w:rPr>
              <w:t>Prioritizarea afacerilor mici in vederea dezvoltarii</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istoricul financiar al solicitantului, respectiv daca cifra de afaceri inregistrata in ultimul fiscal incheiat (2024), este de pana in 500.000 lei.Se verifica situatiile financiare pentru ultimul an fiscal incheiat (2024).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Principiul selectiei proiectelor inovative/creative </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7.1</w:t>
            </w:r>
          </w:p>
        </w:tc>
        <w:tc>
          <w:tcPr>
            <w:shd w:val="clear" w:color="auto" w:fill="F8ECD2"/>
            <w:vAlign w:val="center"/>
          </w:tcPr>
          <w:p>
            <w:r>
              <w:rPr>
                <w:rFonts w:ascii="Cambria" w:hAnsi="Cambria"/>
                <w:b w:val="false"/>
                <w:color w:val="58400C"/>
                <w:sz w:val="24"/>
              </w:rPr>
              <w:t>Principiul selectiei proiectelor inovative/creative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dacă investiția propusă include elemente cu caracter inovativ*.*Inovarea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întreprindere.Inovarea de produs (bun sau serviciu) reprezintă introducerea unui bun sau a unui serviciu, nou sau semnificativîmbunătățit în privința caracteristicilor sau modului său de folosire (aceasta poate include îmbunătățirisemnificative în privința specificațiilor tehnice, componentelor și materialelor, software-ului incorporat, ușurințeide utilizare sau a altor caracteristici funcționale) Produsele inovate pot fi noi pentru piață sau noi numai pentruîntreprindere. O întreprindere poate avea inovare de produs chiar dacă acesta nu este nou pentru piață, dar estenou pentru întreprindere. Inovarea de proces reprezintă implementarea unei metode noi sau semnificativîmbunătățite de producție sau livrare (acestea pot include schimbări semnificative de tehnici, echipamente și/ sausoftware), cu scopul de reducere a costurilor unitar de producției și distribuției, să îmbunătățească calitatea, săproducă sau să distribuie produse noi sau îmbunătățite semnificativ. De asemenea, o întreprindere poate aveainovare de proces, chiar dacă ea nu este prima care a introdus procesul pe piață. (Sursa: Guidelines for collectingand interpreting innovation data, ediția a 3a - OSLO MANUAL, OECD, European Commission, Eurostat, 2005).Atenție!Punctajul minim admis la finanțare în cadrul interventiei M3 este de 10 puncte și reprezintă pragul sub care niciun proiect nu poate beneficia de finanțare nerabursabilă.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condiții de punctaj egal, departajarea proiectelor va fi în funcție devaloarea totală eligibilă a proiectului înscrisă în Bugetul Indicativ, înordine crescătoare: de la valoarea cea mai mică la valoarea cea mai mare.Se verifică valoarea eligibilă a proiectului, așa cum este prevăzută înCererea de finanțare și în Planul financiar din CF/SF/MJ/DALI.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Numărul locurilor de muncă create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aveaprioritate proiectele care prevăd crearea unui număr mai mare de locuri de muncă prin investiție, conform SF/MJ/DALI/CF asumat.Prin proiect solicitantul poate să planifice crearea mai multor locuride muncă.Se verifică numărul locurilor de muncă nou-create, așa cum este prevăzut în Memoriul justificativ/Studiul de fezabilitate/DALI.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Activitatea desfăsurată prin proiect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si 2, departajarea se realizează în funcție de activitatea desfășurată prin proiect și anume:se acordă prioritate proiectelor care prevad investitii in activitatea de producție.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703a7ca1b244b3c" /></Relationships>
</file>